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1" w:rsidRPr="00A73F29" w:rsidRDefault="00AA5AA1" w:rsidP="00B6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A1" w:rsidRPr="00A73F29" w:rsidRDefault="00AA5AA1" w:rsidP="00B67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AA5AA1" w:rsidRPr="00A73F29" w:rsidRDefault="00AA5AA1" w:rsidP="00B67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A5AA1" w:rsidRPr="00A73F29" w:rsidRDefault="00AA5AA1" w:rsidP="00B67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A5AA1" w:rsidRPr="00A73F29" w:rsidRDefault="00AA5AA1" w:rsidP="00B67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AA5AA1" w:rsidRPr="00A73F29" w:rsidTr="00135DA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5AA1" w:rsidRPr="00AA5AA1" w:rsidRDefault="00AA5AA1" w:rsidP="00B67F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AA1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AA5AA1" w:rsidRDefault="00AA5AA1" w:rsidP="00B67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A40A1" w:rsidRPr="00BA40A1" w:rsidRDefault="00BA40A1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65AF1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B67F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67F9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 w:rsidP="00B67F9A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B67F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B92221">
        <w:rPr>
          <w:rFonts w:ascii="Times New Roman" w:eastAsia="Times New Roman" w:hAnsi="Times New Roman" w:cs="Times New Roman"/>
          <w:b/>
          <w:bCs/>
          <w:sz w:val="24"/>
        </w:rPr>
        <w:t>Кузьмичевск</w:t>
      </w:r>
      <w:r w:rsidR="009E24CB">
        <w:rPr>
          <w:rFonts w:ascii="Times New Roman" w:eastAsia="Times New Roman" w:hAnsi="Times New Roman" w:cs="Times New Roman"/>
          <w:b/>
          <w:bCs/>
          <w:sz w:val="24"/>
        </w:rPr>
        <w:t>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0E001C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</w:t>
      </w:r>
      <w:r w:rsidR="009E24CB">
        <w:rPr>
          <w:rFonts w:ascii="Times New Roman" w:eastAsia="Times New Roman" w:hAnsi="Times New Roman" w:cs="Times New Roman"/>
          <w:b/>
          <w:bCs/>
          <w:color w:val="000000"/>
          <w:sz w:val="24"/>
        </w:rPr>
        <w:t>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5D1E3A" w:rsidRDefault="005D1E3A" w:rsidP="00B67F9A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94FDC" w:rsidRDefault="00894FDC" w:rsidP="00B67F9A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 государственном контроле (надзоре) и муниципальном контроле в Российской Федерации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34194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004ED" w:rsidRPr="00841541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="001004ED" w:rsidRPr="008415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1004ED" w:rsidRPr="00841541">
        <w:rPr>
          <w:rFonts w:ascii="Times New Roman" w:eastAsia="Times New Roman" w:hAnsi="Times New Roman" w:cs="Times New Roman"/>
          <w:color w:val="000000"/>
          <w:sz w:val="24"/>
        </w:rPr>
        <w:t>основании Протокола совещания Министерства экономического развития Российской Федерации от 29 августа 2023 г. № 32-Д24</w:t>
      </w:r>
      <w:r w:rsidR="001004E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B92221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B92221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 w:rsidR="00BA46B0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</w:p>
    <w:p w:rsidR="00191534" w:rsidRDefault="00191534" w:rsidP="00B67F9A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B92221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65AF1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65AF1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6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 xml:space="preserve">Кузьмичевского сельского поселения </w:t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</w:t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  <w:t>П.С. Борисенко</w:t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841541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965AF1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D24625" w:rsidRDefault="00D24625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B67F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65AF1" w:rsidP="00B67F9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B92221" w:rsidP="00B67F9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8D7AF1">
        <w:rPr>
          <w:rFonts w:ascii="Times New Roman" w:eastAsia="Times New Roman" w:hAnsi="Times New Roman" w:cs="Times New Roman"/>
          <w:color w:val="000000"/>
          <w:sz w:val="24"/>
        </w:rPr>
        <w:t xml:space="preserve">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965AF1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B92221">
        <w:rPr>
          <w:rFonts w:ascii="Times New Roman" w:eastAsia="Times New Roman" w:hAnsi="Times New Roman" w:cs="Times New Roman"/>
          <w:b/>
          <w:color w:val="000000"/>
          <w:sz w:val="24"/>
        </w:rPr>
        <w:t>Кузьмичевск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b/>
          <w:color w:val="000000"/>
          <w:sz w:val="24"/>
        </w:rPr>
        <w:t>Городищенск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 w:rsidP="00B67F9A">
      <w:pPr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65AF1" w:rsidP="00B67F9A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 w:rsidP="00B67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</w:t>
      </w:r>
      <w:r w:rsidR="00CA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92221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B16BB5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B92221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E001C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F92FC4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3B6E3F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F92FC4" w:rsidRPr="00F92FC4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="00E14E2D" w:rsidRPr="00D06187">
        <w:rPr>
          <w:rFonts w:ascii="Times New Roman" w:eastAsia="Times New Roman" w:hAnsi="Times New Roman" w:cs="Times New Roman"/>
          <w:color w:val="000000"/>
          <w:sz w:val="24"/>
        </w:rPr>
        <w:t>от 05.12.2022 года №106</w:t>
      </w:r>
      <w:r w:rsidRPr="00D0618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8817"/>
      </w:tblGrid>
      <w:tr w:rsidR="00E14E2D" w:rsidTr="00E14E2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</w:tr>
      <w:tr w:rsidR="00E14E2D" w:rsidTr="00E14E2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соответствующей сфере;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E14E2D" w:rsidRDefault="00E14E2D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</w:tr>
      <w:tr w:rsidR="00E14E2D" w:rsidTr="00E14E2D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E14E2D" w:rsidRDefault="00E14E2D" w:rsidP="00B67F9A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14E2D" w:rsidRDefault="00E14E2D" w:rsidP="00B67F9A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</w:tr>
      <w:tr w:rsidR="00E14E2D" w:rsidTr="00E14E2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D06187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14E2D" w:rsidRDefault="00E14E2D" w:rsidP="00B67F9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E14E2D" w:rsidRDefault="00E14E2D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</w:tr>
      <w:tr w:rsidR="00E14E2D" w:rsidTr="00E14E2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D06187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E14E2D" w:rsidRDefault="00E14E2D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14E2D" w:rsidRDefault="00E14E2D" w:rsidP="00B67F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14E2D" w:rsidRDefault="00E14E2D" w:rsidP="00B67F9A">
            <w:pPr>
              <w:spacing w:after="0" w:line="240" w:lineRule="auto"/>
              <w:jc w:val="both"/>
            </w:pPr>
          </w:p>
        </w:tc>
      </w:tr>
    </w:tbl>
    <w:p w:rsidR="00F92FC4" w:rsidRPr="00E14E2D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</w:t>
      </w:r>
      <w:r w:rsidR="00E14E2D">
        <w:rPr>
          <w:rFonts w:ascii="Times New Roman" w:eastAsia="Times New Roman" w:hAnsi="Times New Roman" w:cs="Times New Roman"/>
          <w:color w:val="000000"/>
          <w:sz w:val="24"/>
        </w:rPr>
        <w:t xml:space="preserve">илактическим направлениям, как </w:t>
      </w:r>
      <w:r w:rsidR="00E14E2D" w:rsidRPr="00E14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4E2D" w:rsidRPr="00E14E2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</w:t>
      </w:r>
      <w:r w:rsidR="00E14E2D" w:rsidRPr="00E1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C4" w:rsidRPr="00F92FC4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E14E2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92FC4" w:rsidRPr="00F92FC4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F92FC4" w:rsidRPr="00F92FC4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F92FC4" w:rsidRPr="00F92FC4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F92FC4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F92FC4" w:rsidRDefault="00740A3B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4E2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</w:t>
      </w:r>
      <w:r w:rsidRPr="00E14E2D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740A3B" w:rsidRDefault="00740A3B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B67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5"/>
        <w:gridCol w:w="2949"/>
        <w:gridCol w:w="2405"/>
        <w:gridCol w:w="3574"/>
      </w:tblGrid>
      <w:tr w:rsidR="000D123E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65AF1" w:rsidRDefault="00D06187" w:rsidP="00B67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  <w:tr w:rsidR="000D123E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B3ED4" w:rsidRDefault="005F37B7" w:rsidP="00B67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</w:t>
            </w:r>
            <w:r w:rsidR="003E2D52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65AF1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 w:rsidP="00B67F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6187" w:rsidP="00B67F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</w:tbl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 w:rsidP="00B67F9A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65AF1" w:rsidP="00B67F9A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 w:rsidP="00B67F9A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65AF1" w:rsidP="00B67F9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B67F9A">
            <w:pPr>
              <w:spacing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 w:rsidP="00B67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65AF1" w:rsidP="00B6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65AF1" w:rsidP="00B67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3288" w:rsidRDefault="00993288" w:rsidP="00B67F9A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:rsidR="00B67F9A" w:rsidRDefault="00B67F9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B31282" w:rsidRPr="00D06187" w:rsidRDefault="00B31282" w:rsidP="00B67F9A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0618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B31282" w:rsidRPr="00D06187" w:rsidRDefault="00B31282" w:rsidP="00B67F9A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06187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31282" w:rsidRPr="00D06187" w:rsidRDefault="00B31282" w:rsidP="00B67F9A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1282" w:rsidRPr="00D06187" w:rsidRDefault="00B31282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1282" w:rsidRPr="00D06187" w:rsidRDefault="00B31282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31282" w:rsidRPr="00D06187" w:rsidTr="00734D53">
        <w:trPr>
          <w:trHeight w:val="1244"/>
        </w:trPr>
        <w:tc>
          <w:tcPr>
            <w:tcW w:w="426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D061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61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D06187" w:rsidTr="00734D53">
        <w:trPr>
          <w:trHeight w:val="419"/>
        </w:trPr>
        <w:tc>
          <w:tcPr>
            <w:tcW w:w="426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D06187" w:rsidTr="00734D53">
        <w:trPr>
          <w:trHeight w:val="529"/>
        </w:trPr>
        <w:tc>
          <w:tcPr>
            <w:tcW w:w="426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D06187" w:rsidTr="00734D53">
        <w:trPr>
          <w:trHeight w:val="529"/>
        </w:trPr>
        <w:tc>
          <w:tcPr>
            <w:tcW w:w="426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D06187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B31282" w:rsidTr="00734D53">
        <w:trPr>
          <w:trHeight w:val="529"/>
        </w:trPr>
        <w:tc>
          <w:tcPr>
            <w:tcW w:w="426" w:type="dxa"/>
          </w:tcPr>
          <w:p w:rsidR="00B31282" w:rsidRPr="00B31282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31282" w:rsidRPr="00B31282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B31282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B31282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B31282" w:rsidRDefault="00B31282" w:rsidP="00B6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1282" w:rsidRPr="00B31282" w:rsidRDefault="00B31282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31282" w:rsidRPr="00B31282" w:rsidRDefault="00B31282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Pr="00B31282" w:rsidRDefault="006B0BD7" w:rsidP="00B67F9A">
      <w:pPr>
        <w:tabs>
          <w:tab w:val="left" w:pos="33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0D123E" w:rsidRDefault="000D123E" w:rsidP="00B6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13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0E001C"/>
    <w:rsid w:val="001004ED"/>
    <w:rsid w:val="00134A8E"/>
    <w:rsid w:val="00184AFB"/>
    <w:rsid w:val="00191534"/>
    <w:rsid w:val="001A6059"/>
    <w:rsid w:val="001B63CB"/>
    <w:rsid w:val="001B6B47"/>
    <w:rsid w:val="001D67C6"/>
    <w:rsid w:val="001E0313"/>
    <w:rsid w:val="001F58E6"/>
    <w:rsid w:val="00251FC8"/>
    <w:rsid w:val="002A2BBC"/>
    <w:rsid w:val="002A5B67"/>
    <w:rsid w:val="002B3A9B"/>
    <w:rsid w:val="002B3ED4"/>
    <w:rsid w:val="002F2CCD"/>
    <w:rsid w:val="003243D1"/>
    <w:rsid w:val="003251DC"/>
    <w:rsid w:val="003424FA"/>
    <w:rsid w:val="0036460F"/>
    <w:rsid w:val="0037077E"/>
    <w:rsid w:val="00377C8B"/>
    <w:rsid w:val="00390479"/>
    <w:rsid w:val="003B6E3F"/>
    <w:rsid w:val="003C06EB"/>
    <w:rsid w:val="003E2D52"/>
    <w:rsid w:val="003E40A4"/>
    <w:rsid w:val="00440638"/>
    <w:rsid w:val="00441CF0"/>
    <w:rsid w:val="00481E89"/>
    <w:rsid w:val="004908EE"/>
    <w:rsid w:val="004A7CFA"/>
    <w:rsid w:val="004B2E2C"/>
    <w:rsid w:val="004E1C54"/>
    <w:rsid w:val="0051273A"/>
    <w:rsid w:val="0056633F"/>
    <w:rsid w:val="005854AD"/>
    <w:rsid w:val="00592F86"/>
    <w:rsid w:val="005947C4"/>
    <w:rsid w:val="00594FED"/>
    <w:rsid w:val="005D1E3A"/>
    <w:rsid w:val="005E0B56"/>
    <w:rsid w:val="005E4C0C"/>
    <w:rsid w:val="005F37B7"/>
    <w:rsid w:val="00607E0A"/>
    <w:rsid w:val="006617E9"/>
    <w:rsid w:val="006B0BD7"/>
    <w:rsid w:val="007038CA"/>
    <w:rsid w:val="007120B9"/>
    <w:rsid w:val="007328C6"/>
    <w:rsid w:val="00740A3B"/>
    <w:rsid w:val="00747876"/>
    <w:rsid w:val="00765F6D"/>
    <w:rsid w:val="00766AC6"/>
    <w:rsid w:val="00790CB0"/>
    <w:rsid w:val="007A7AC3"/>
    <w:rsid w:val="007C0F98"/>
    <w:rsid w:val="007D14A8"/>
    <w:rsid w:val="007E4F6E"/>
    <w:rsid w:val="00810009"/>
    <w:rsid w:val="00841541"/>
    <w:rsid w:val="0085320C"/>
    <w:rsid w:val="00862321"/>
    <w:rsid w:val="008701C4"/>
    <w:rsid w:val="00886BF1"/>
    <w:rsid w:val="00894FDC"/>
    <w:rsid w:val="008A6ADC"/>
    <w:rsid w:val="008B5867"/>
    <w:rsid w:val="008D4CE2"/>
    <w:rsid w:val="008D7AF1"/>
    <w:rsid w:val="009256BA"/>
    <w:rsid w:val="009279F5"/>
    <w:rsid w:val="00957BFF"/>
    <w:rsid w:val="00965AF1"/>
    <w:rsid w:val="00993288"/>
    <w:rsid w:val="009D0D81"/>
    <w:rsid w:val="009D23B1"/>
    <w:rsid w:val="009D59F5"/>
    <w:rsid w:val="009E24CB"/>
    <w:rsid w:val="00A509ED"/>
    <w:rsid w:val="00A70F2A"/>
    <w:rsid w:val="00AA53D7"/>
    <w:rsid w:val="00AA5AA1"/>
    <w:rsid w:val="00AC6BEA"/>
    <w:rsid w:val="00AD1249"/>
    <w:rsid w:val="00B02813"/>
    <w:rsid w:val="00B15117"/>
    <w:rsid w:val="00B16BB5"/>
    <w:rsid w:val="00B31282"/>
    <w:rsid w:val="00B65243"/>
    <w:rsid w:val="00B67F9A"/>
    <w:rsid w:val="00B92221"/>
    <w:rsid w:val="00BA40A1"/>
    <w:rsid w:val="00BA46B0"/>
    <w:rsid w:val="00BC6A99"/>
    <w:rsid w:val="00BC76CD"/>
    <w:rsid w:val="00C22AAD"/>
    <w:rsid w:val="00CA1204"/>
    <w:rsid w:val="00CA57D2"/>
    <w:rsid w:val="00CA6120"/>
    <w:rsid w:val="00CC7968"/>
    <w:rsid w:val="00CD576E"/>
    <w:rsid w:val="00CE361A"/>
    <w:rsid w:val="00D06187"/>
    <w:rsid w:val="00D23AA0"/>
    <w:rsid w:val="00D24625"/>
    <w:rsid w:val="00D34194"/>
    <w:rsid w:val="00D50370"/>
    <w:rsid w:val="00D64301"/>
    <w:rsid w:val="00D6789A"/>
    <w:rsid w:val="00D82A3E"/>
    <w:rsid w:val="00D959DB"/>
    <w:rsid w:val="00D97D62"/>
    <w:rsid w:val="00DC2E03"/>
    <w:rsid w:val="00DC6798"/>
    <w:rsid w:val="00DC6FFD"/>
    <w:rsid w:val="00DF39C6"/>
    <w:rsid w:val="00E14E2D"/>
    <w:rsid w:val="00E2047A"/>
    <w:rsid w:val="00E308F1"/>
    <w:rsid w:val="00E53DF8"/>
    <w:rsid w:val="00E6341E"/>
    <w:rsid w:val="00ED5E44"/>
    <w:rsid w:val="00EF146B"/>
    <w:rsid w:val="00EF2FE7"/>
    <w:rsid w:val="00F07DEF"/>
    <w:rsid w:val="00F15890"/>
    <w:rsid w:val="00F87145"/>
    <w:rsid w:val="00F92FC4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165</cp:revision>
  <dcterms:created xsi:type="dcterms:W3CDTF">2022-09-13T06:46:00Z</dcterms:created>
  <dcterms:modified xsi:type="dcterms:W3CDTF">2023-09-27T09:31:00Z</dcterms:modified>
</cp:coreProperties>
</file>