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2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92122E" w:rsidRPr="00A73F29" w:rsidRDefault="0092122E" w:rsidP="009212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2122E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22E" w:rsidRPr="00A73F29" w:rsidRDefault="0092122E" w:rsidP="009212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403023, Волгоградская область, Городищенский район, п. Кузьмичи, ул. Нефтяников,1, тел. (84468)4-61-38,4-60-40</w:t>
            </w:r>
          </w:p>
        </w:tc>
      </w:tr>
    </w:tbl>
    <w:p w:rsidR="0092122E" w:rsidRDefault="0092122E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BA40A1" w:rsidRDefault="00705413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ПРОЕКТ </w:t>
      </w:r>
      <w:r w:rsidR="00645A3A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Я</w:t>
      </w:r>
      <w:r w:rsidR="00645A3A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B3A9B" w:rsidRDefault="005D1E3A" w:rsidP="0092122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1B1C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DA0452" w:rsidRPr="00DA045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b/>
          <w:bCs/>
          <w:color w:val="000000"/>
          <w:sz w:val="24"/>
        </w:rPr>
        <w:t>Кузьмичевск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5D1E3A" w:rsidRDefault="005D1E3A" w:rsidP="0092122E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", </w:t>
      </w:r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на основании </w:t>
      </w:r>
      <w:proofErr w:type="gramStart"/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>Протокола совещания Министерства экономического развития Российской Федерации</w:t>
      </w:r>
      <w:proofErr w:type="gramEnd"/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 от 29 августа 2023 г. № 32-Д24,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4F408E" w:rsidRPr="004F408E">
        <w:t xml:space="preserve">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4F408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92122E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DA0452" w:rsidRPr="00DA0452">
        <w:rPr>
          <w:rFonts w:ascii="Times New Roman" w:eastAsia="Times New Roman" w:hAnsi="Times New Roman" w:cs="Times New Roman"/>
          <w:color w:val="000000"/>
          <w:sz w:val="24"/>
        </w:rPr>
        <w:t>населенных пунктов</w:t>
      </w:r>
      <w:r w:rsidR="00DA0452" w:rsidRPr="00DA045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EB13D6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Приложению.</w:t>
      </w: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B1CBA" w:rsidRDefault="0092122E" w:rsidP="001B1CBA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Глава Кузьмичевского </w:t>
      </w:r>
    </w:p>
    <w:p w:rsidR="0092122E" w:rsidRPr="00EF482C" w:rsidRDefault="0092122E" w:rsidP="001B1CBA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C0B33">
        <w:rPr>
          <w:rFonts w:ascii="Times New Roman" w:hAnsi="Times New Roman" w:cs="Times New Roman"/>
        </w:rPr>
        <w:t xml:space="preserve">                  </w:t>
      </w:r>
      <w:r w:rsidR="001B1CBA">
        <w:rPr>
          <w:rFonts w:ascii="Times New Roman" w:hAnsi="Times New Roman" w:cs="Times New Roman"/>
        </w:rPr>
        <w:tab/>
      </w:r>
      <w:r w:rsidR="001B1CBA">
        <w:rPr>
          <w:rFonts w:ascii="Times New Roman" w:hAnsi="Times New Roman" w:cs="Times New Roman"/>
        </w:rPr>
        <w:tab/>
        <w:t xml:space="preserve">              </w:t>
      </w:r>
      <w:r w:rsidRPr="009C0B33">
        <w:rPr>
          <w:rFonts w:ascii="Times New Roman" w:hAnsi="Times New Roman" w:cs="Times New Roman"/>
        </w:rPr>
        <w:t>П.С. Борисенко</w:t>
      </w:r>
    </w:p>
    <w:p w:rsidR="000D123E" w:rsidRDefault="00645A3A" w:rsidP="001B1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7930A0" w:rsidRDefault="007930A0" w:rsidP="001B1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5413" w:rsidRDefault="00705413" w:rsidP="006E4A0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6E4A0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:rsidR="000D123E" w:rsidRDefault="00645A3A" w:rsidP="006E4A0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6E4A0A" w:rsidRDefault="003B3368" w:rsidP="006E4A0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2F6EA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 xml:space="preserve">_________ </w:t>
      </w:r>
      <w:proofErr w:type="gramStart"/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End"/>
      <w:r w:rsidR="00E2047A" w:rsidRPr="006E4A0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6E4A0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6E4A0A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6E4A0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___</w:t>
      </w: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E21D5" w:rsidRPr="002E21D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92122E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 w:rsidP="0092122E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921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на автомобильном </w:t>
      </w:r>
      <w:r w:rsidR="008F74A8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транспорте, городском наземном электрическом транспорте и в дорожном хозяйстве в границах</w:t>
      </w:r>
      <w:r w:rsidR="00E83DE2" w:rsidRPr="00D01B47">
        <w:rPr>
          <w:rFonts w:ascii="Times New Roman" w:hAnsi="Times New Roman" w:cs="Times New Roman"/>
          <w:sz w:val="24"/>
          <w:szCs w:val="24"/>
        </w:rPr>
        <w:t xml:space="preserve"> </w:t>
      </w:r>
      <w:r w:rsidR="00D01B47" w:rsidRPr="00D01B47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3B3368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Кузьмичевск</w:t>
      </w:r>
      <w:r w:rsidR="00E83DE2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451B0" w:rsidRPr="00C451B0">
        <w:rPr>
          <w:rFonts w:ascii="Times New Roman" w:eastAsia="Times New Roman" w:hAnsi="Times New Roman" w:cs="Times New Roman"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704D7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F58E6" w:rsidRDefault="001F58E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023AD1" w:rsidRPr="00764065">
        <w:rPr>
          <w:rFonts w:ascii="Times New Roman" w:eastAsia="Times New Roman" w:hAnsi="Times New Roman" w:cs="Times New Roman"/>
          <w:color w:val="000000"/>
          <w:sz w:val="24"/>
        </w:rPr>
        <w:t>на автомобильном транспорте, городском наземном электрическом транспорте и в дорожном хозяйстве в границах</w:t>
      </w:r>
      <w:r w:rsidR="00023A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3294" w:rsidRPr="00823294">
        <w:rPr>
          <w:rFonts w:ascii="Times New Roman" w:eastAsia="Times New Roman" w:hAnsi="Times New Roman" w:cs="Times New Roman"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3E7A0E" w:rsidRDefault="00B754A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 xml:space="preserve">, утвержденной постановлением администрации 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6E4A0A">
        <w:rPr>
          <w:rFonts w:ascii="Times New Roman" w:eastAsia="Times New Roman" w:hAnsi="Times New Roman" w:cs="Times New Roman"/>
          <w:color w:val="000000"/>
          <w:sz w:val="24"/>
        </w:rPr>
        <w:t>95</w:t>
      </w:r>
      <w:r w:rsidR="003E7A0E" w:rsidRPr="0092122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0146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0146E9" w:rsidTr="000146E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0146E9" w:rsidRDefault="000146E9" w:rsidP="00135DA2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146E9" w:rsidRDefault="000146E9" w:rsidP="00135DA2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146E9" w:rsidRDefault="000146E9" w:rsidP="00135DA2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146E9" w:rsidRDefault="000146E9" w:rsidP="00135DA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146E9" w:rsidRDefault="000146E9" w:rsidP="00135DA2">
            <w:pPr>
              <w:spacing w:after="0" w:line="240" w:lineRule="auto"/>
              <w:jc w:val="both"/>
            </w:pPr>
          </w:p>
        </w:tc>
      </w:tr>
    </w:tbl>
    <w:p w:rsidR="000146E9" w:rsidRDefault="000146E9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6124" w:rsidRDefault="00BE0DC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Исходя из приведенных данных о профилактической работе администрации 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>в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 xml:space="preserve"> году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>, в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4"/>
        </w:rPr>
        <w:t>следует уделить особое внимание таким профилактическим</w:t>
      </w:r>
      <w:r w:rsidR="0092122E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направлениям, как информирование.</w:t>
      </w:r>
    </w:p>
    <w:p w:rsidR="00B66124" w:rsidRDefault="00B66124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6612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6612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92122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B6612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A106D" w:rsidRP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8A106D" w:rsidRP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 при осуществлении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</w:t>
      </w:r>
      <w:r w:rsidRPr="008A106D">
        <w:rPr>
          <w:rFonts w:ascii="Times New Roman" w:eastAsia="Times New Roman" w:hAnsi="Times New Roman" w:cs="Times New Roman"/>
          <w:color w:val="000000"/>
          <w:sz w:val="24"/>
        </w:rPr>
        <w:t>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 xml:space="preserve"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</w:t>
      </w:r>
      <w:r w:rsidRPr="008A106D">
        <w:rPr>
          <w:rFonts w:ascii="Times New Roman" w:eastAsia="Times New Roman" w:hAnsi="Times New Roman" w:cs="Times New Roman"/>
          <w:color w:val="000000"/>
          <w:sz w:val="24"/>
        </w:rPr>
        <w:lastRenderedPageBreak/>
        <w:t>показателей индекса административного давления, снизив контрольную и административную нагрузку на бизнес.</w:t>
      </w:r>
    </w:p>
    <w:p w:rsidR="00897BF7" w:rsidRPr="000146E9" w:rsidRDefault="00BE0DC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</w:t>
      </w:r>
      <w:r w:rsidR="008A106D" w:rsidRPr="000146E9">
        <w:rPr>
          <w:rFonts w:ascii="Times New Roman" w:eastAsia="Times New Roman" w:hAnsi="Times New Roman" w:cs="Times New Roman"/>
          <w:color w:val="000000"/>
          <w:sz w:val="24"/>
        </w:rPr>
        <w:t>настоящей Программы.</w:t>
      </w:r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4E048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0146E9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0146E9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921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8329F7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информационных системах (при их наличии) и в иных формах.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0146E9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854E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>1) порядка проведения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0146E9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 w:rsidP="0092122E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92122E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F0830" w:rsidRDefault="006F0830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146E9" w:rsidRDefault="000146E9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F0830" w:rsidRDefault="006F0830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CBA" w:rsidRDefault="001B1CB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CBA" w:rsidRDefault="001B1CB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0146E9" w:rsidRDefault="00BC0CF8" w:rsidP="0092122E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46E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C0CF8" w:rsidRPr="000146E9" w:rsidRDefault="00BC0CF8" w:rsidP="0092122E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0146E9" w:rsidRDefault="00BC0CF8" w:rsidP="0092122E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0146E9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0146E9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0146E9" w:rsidTr="00503ABB">
        <w:trPr>
          <w:trHeight w:val="1244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0146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0146E9" w:rsidTr="00503ABB">
        <w:trPr>
          <w:trHeight w:val="41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0146E9" w:rsidTr="00503ABB">
        <w:trPr>
          <w:trHeight w:val="52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0146E9" w:rsidTr="00503ABB">
        <w:trPr>
          <w:trHeight w:val="52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AB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146E9"/>
    <w:rsid w:val="000213ED"/>
    <w:rsid w:val="00022818"/>
    <w:rsid w:val="00023AD1"/>
    <w:rsid w:val="00024484"/>
    <w:rsid w:val="00031A7E"/>
    <w:rsid w:val="00054435"/>
    <w:rsid w:val="00067ADC"/>
    <w:rsid w:val="000807C5"/>
    <w:rsid w:val="000A5FFB"/>
    <w:rsid w:val="000D123E"/>
    <w:rsid w:val="000D7FAD"/>
    <w:rsid w:val="000F38A7"/>
    <w:rsid w:val="000F53A6"/>
    <w:rsid w:val="00153F43"/>
    <w:rsid w:val="00163849"/>
    <w:rsid w:val="00177F0C"/>
    <w:rsid w:val="00184AFB"/>
    <w:rsid w:val="00191534"/>
    <w:rsid w:val="001B1CBA"/>
    <w:rsid w:val="001B6B47"/>
    <w:rsid w:val="001D5837"/>
    <w:rsid w:val="001D67C6"/>
    <w:rsid w:val="001E0313"/>
    <w:rsid w:val="001F58E6"/>
    <w:rsid w:val="00202BD1"/>
    <w:rsid w:val="002038D2"/>
    <w:rsid w:val="00210ECC"/>
    <w:rsid w:val="00284EA5"/>
    <w:rsid w:val="002A2BBC"/>
    <w:rsid w:val="002B3A9B"/>
    <w:rsid w:val="002C33ED"/>
    <w:rsid w:val="002D089F"/>
    <w:rsid w:val="002E21D5"/>
    <w:rsid w:val="002F6EA6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6E05"/>
    <w:rsid w:val="003B3368"/>
    <w:rsid w:val="003E40A4"/>
    <w:rsid w:val="003E7A0E"/>
    <w:rsid w:val="0042473E"/>
    <w:rsid w:val="004908EE"/>
    <w:rsid w:val="004A7CFA"/>
    <w:rsid w:val="004B2E2C"/>
    <w:rsid w:val="004B33A6"/>
    <w:rsid w:val="004E048F"/>
    <w:rsid w:val="004F408E"/>
    <w:rsid w:val="0051273A"/>
    <w:rsid w:val="0056633F"/>
    <w:rsid w:val="00592F86"/>
    <w:rsid w:val="00594354"/>
    <w:rsid w:val="005C2308"/>
    <w:rsid w:val="005C7F0A"/>
    <w:rsid w:val="005D1E3A"/>
    <w:rsid w:val="005D2F2A"/>
    <w:rsid w:val="006355D8"/>
    <w:rsid w:val="00645A3A"/>
    <w:rsid w:val="006617E9"/>
    <w:rsid w:val="0067213E"/>
    <w:rsid w:val="00680A75"/>
    <w:rsid w:val="006A6247"/>
    <w:rsid w:val="006E020D"/>
    <w:rsid w:val="006E4A0A"/>
    <w:rsid w:val="006F0830"/>
    <w:rsid w:val="00704D7E"/>
    <w:rsid w:val="00705413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86EF1"/>
    <w:rsid w:val="007930A0"/>
    <w:rsid w:val="007956B3"/>
    <w:rsid w:val="007A7AC3"/>
    <w:rsid w:val="007B09B6"/>
    <w:rsid w:val="007C6B7A"/>
    <w:rsid w:val="007D14A8"/>
    <w:rsid w:val="00810009"/>
    <w:rsid w:val="00823294"/>
    <w:rsid w:val="008329F7"/>
    <w:rsid w:val="0085320C"/>
    <w:rsid w:val="008854E8"/>
    <w:rsid w:val="00886BF1"/>
    <w:rsid w:val="00897BF7"/>
    <w:rsid w:val="008A106D"/>
    <w:rsid w:val="008A1D81"/>
    <w:rsid w:val="008A6ADC"/>
    <w:rsid w:val="008D4CE2"/>
    <w:rsid w:val="008E3002"/>
    <w:rsid w:val="008F74A8"/>
    <w:rsid w:val="008F7E47"/>
    <w:rsid w:val="0092122E"/>
    <w:rsid w:val="009256BA"/>
    <w:rsid w:val="009279F5"/>
    <w:rsid w:val="009D0D81"/>
    <w:rsid w:val="009D59F5"/>
    <w:rsid w:val="00A34657"/>
    <w:rsid w:val="00A529ED"/>
    <w:rsid w:val="00A614DE"/>
    <w:rsid w:val="00A70F2A"/>
    <w:rsid w:val="00A85503"/>
    <w:rsid w:val="00AB10D6"/>
    <w:rsid w:val="00AC6BEA"/>
    <w:rsid w:val="00AE0F02"/>
    <w:rsid w:val="00B65243"/>
    <w:rsid w:val="00B66124"/>
    <w:rsid w:val="00B754AF"/>
    <w:rsid w:val="00B85600"/>
    <w:rsid w:val="00BA09BF"/>
    <w:rsid w:val="00BA40A1"/>
    <w:rsid w:val="00BC0CF8"/>
    <w:rsid w:val="00BC6A99"/>
    <w:rsid w:val="00BD5155"/>
    <w:rsid w:val="00BE0DCC"/>
    <w:rsid w:val="00BE6F86"/>
    <w:rsid w:val="00C22AAD"/>
    <w:rsid w:val="00C451B0"/>
    <w:rsid w:val="00C70AF5"/>
    <w:rsid w:val="00C77AD0"/>
    <w:rsid w:val="00CC7968"/>
    <w:rsid w:val="00CD263D"/>
    <w:rsid w:val="00CE361A"/>
    <w:rsid w:val="00D01B47"/>
    <w:rsid w:val="00D23AA0"/>
    <w:rsid w:val="00D24625"/>
    <w:rsid w:val="00D277AC"/>
    <w:rsid w:val="00D50370"/>
    <w:rsid w:val="00D71D4E"/>
    <w:rsid w:val="00D80DBE"/>
    <w:rsid w:val="00D97D62"/>
    <w:rsid w:val="00DA0452"/>
    <w:rsid w:val="00DA1392"/>
    <w:rsid w:val="00DC6798"/>
    <w:rsid w:val="00DE014F"/>
    <w:rsid w:val="00E2047A"/>
    <w:rsid w:val="00E308F1"/>
    <w:rsid w:val="00E53DF8"/>
    <w:rsid w:val="00E6341E"/>
    <w:rsid w:val="00E804DA"/>
    <w:rsid w:val="00E83DE2"/>
    <w:rsid w:val="00EB1272"/>
    <w:rsid w:val="00EB13D6"/>
    <w:rsid w:val="00ED7822"/>
    <w:rsid w:val="00EF2FE7"/>
    <w:rsid w:val="00F63A99"/>
    <w:rsid w:val="00F82881"/>
    <w:rsid w:val="00F94974"/>
    <w:rsid w:val="00FC1723"/>
    <w:rsid w:val="00FF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200</cp:revision>
  <cp:lastPrinted>2024-12-02T08:44:00Z</cp:lastPrinted>
  <dcterms:created xsi:type="dcterms:W3CDTF">2022-09-13T06:46:00Z</dcterms:created>
  <dcterms:modified xsi:type="dcterms:W3CDTF">2025-12-11T08:26:00Z</dcterms:modified>
</cp:coreProperties>
</file>